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BA74E9" w:rsidRPr="00682A2D" w:rsidTr="00BA74E9">
        <w:tc>
          <w:tcPr>
            <w:tcW w:w="4531" w:type="dxa"/>
          </w:tcPr>
          <w:p w:rsidR="00BA74E9" w:rsidRPr="00AC5C36" w:rsidRDefault="00BA74E9" w:rsidP="00BA74E9">
            <w:pPr>
              <w:pStyle w:val="Zhlav"/>
              <w:jc w:val="right"/>
              <w:rPr>
                <w:rFonts w:cs="Arial"/>
                <w:sz w:val="18"/>
                <w:szCs w:val="18"/>
              </w:rPr>
            </w:pPr>
            <w:r w:rsidRPr="00AC5C36">
              <w:rPr>
                <w:rFonts w:cs="Arial"/>
                <w:sz w:val="18"/>
                <w:szCs w:val="18"/>
              </w:rPr>
              <w:t>Příloha č. 3a</w:t>
            </w:r>
          </w:p>
          <w:p w:rsidR="00BA74E9" w:rsidRPr="00AC5C36" w:rsidRDefault="00BA74E9" w:rsidP="00BA74E9">
            <w:pPr>
              <w:pStyle w:val="Zhlav"/>
              <w:jc w:val="right"/>
              <w:rPr>
                <w:rFonts w:cs="Arial"/>
                <w:sz w:val="18"/>
                <w:szCs w:val="18"/>
              </w:rPr>
            </w:pPr>
            <w:r w:rsidRPr="00AC5C36">
              <w:rPr>
                <w:rFonts w:cs="Arial"/>
                <w:sz w:val="18"/>
                <w:szCs w:val="18"/>
                <w:highlight w:val="yellow"/>
              </w:rPr>
              <w:t>Smlouva o dílo NŘP/Ku/</w:t>
            </w:r>
            <w:proofErr w:type="spellStart"/>
            <w:r w:rsidRPr="00AC5C36">
              <w:rPr>
                <w:rFonts w:cs="Arial"/>
                <w:sz w:val="18"/>
                <w:szCs w:val="18"/>
                <w:highlight w:val="yellow"/>
              </w:rPr>
              <w:t>xxx</w:t>
            </w:r>
            <w:proofErr w:type="spellEnd"/>
            <w:r w:rsidRPr="00AC5C36">
              <w:rPr>
                <w:rFonts w:cs="Arial"/>
                <w:sz w:val="18"/>
                <w:szCs w:val="18"/>
                <w:highlight w:val="yellow"/>
              </w:rPr>
              <w:t>/2021</w:t>
            </w:r>
          </w:p>
          <w:p w:rsidR="00BA74E9" w:rsidRPr="00AC5C36" w:rsidRDefault="00BA74E9" w:rsidP="00BA74E9">
            <w:pPr>
              <w:rPr>
                <w:rFonts w:ascii="Arial" w:hAnsi="Arial" w:cs="Arial"/>
                <w:sz w:val="20"/>
              </w:rPr>
            </w:pPr>
          </w:p>
        </w:tc>
        <w:tc>
          <w:tcPr>
            <w:tcW w:w="4531" w:type="dxa"/>
          </w:tcPr>
          <w:p w:rsidR="00BA74E9" w:rsidRPr="00682A2D" w:rsidRDefault="00BA74E9" w:rsidP="00BA74E9">
            <w:pPr>
              <w:pStyle w:val="Zhlav"/>
              <w:jc w:val="right"/>
              <w:rPr>
                <w:rFonts w:cs="Arial"/>
                <w:sz w:val="18"/>
                <w:szCs w:val="18"/>
                <w:lang w:val="en-GB"/>
              </w:rPr>
            </w:pPr>
            <w:r w:rsidRPr="00682A2D">
              <w:rPr>
                <w:rFonts w:cs="Arial"/>
                <w:sz w:val="18"/>
                <w:lang w:val="en-GB"/>
              </w:rPr>
              <w:t xml:space="preserve">Appendix 3a </w:t>
            </w:r>
          </w:p>
          <w:p w:rsidR="00BA74E9" w:rsidRPr="00682A2D" w:rsidRDefault="00BA74E9" w:rsidP="00BA74E9">
            <w:pPr>
              <w:pStyle w:val="Zhlav"/>
              <w:jc w:val="right"/>
              <w:rPr>
                <w:rFonts w:cs="Arial"/>
                <w:sz w:val="18"/>
                <w:szCs w:val="18"/>
                <w:lang w:val="en-GB"/>
              </w:rPr>
            </w:pPr>
            <w:r w:rsidRPr="00682A2D">
              <w:rPr>
                <w:rFonts w:cs="Arial"/>
                <w:sz w:val="18"/>
                <w:highlight w:val="yellow"/>
                <w:lang w:val="en-GB"/>
              </w:rPr>
              <w:t xml:space="preserve">Contract for works NŘP/Ku/xxx/2021 </w:t>
            </w:r>
          </w:p>
          <w:p w:rsidR="00BA74E9" w:rsidRPr="00682A2D" w:rsidRDefault="00BA74E9" w:rsidP="00BA74E9">
            <w:pPr>
              <w:rPr>
                <w:rFonts w:ascii="Arial" w:hAnsi="Arial" w:cs="Arial"/>
                <w:sz w:val="20"/>
                <w:lang w:val="en-GB"/>
              </w:rPr>
            </w:pPr>
          </w:p>
        </w:tc>
      </w:tr>
      <w:tr w:rsidR="00BA74E9" w:rsidRPr="00682A2D" w:rsidTr="00BA74E9">
        <w:tc>
          <w:tcPr>
            <w:tcW w:w="4531" w:type="dxa"/>
          </w:tcPr>
          <w:p w:rsidR="00BA74E9" w:rsidRPr="00AC5C36" w:rsidRDefault="00BA74E9" w:rsidP="00BA74E9">
            <w:pPr>
              <w:rPr>
                <w:rFonts w:ascii="Arial" w:hAnsi="Arial" w:cs="Arial"/>
                <w:sz w:val="20"/>
              </w:rPr>
            </w:pPr>
            <w:r w:rsidRPr="00AC5C36">
              <w:rPr>
                <w:rFonts w:ascii="Arial" w:hAnsi="Arial" w:cs="Arial"/>
                <w:sz w:val="20"/>
              </w:rPr>
              <w:t xml:space="preserve">Specifikace předmětu Smlouvy Část č. 3: </w:t>
            </w:r>
          </w:p>
          <w:p w:rsidR="00BA74E9" w:rsidRPr="00AC5C36" w:rsidRDefault="00BA74E9" w:rsidP="00BA74E9">
            <w:pPr>
              <w:pStyle w:val="Zhlav"/>
              <w:jc w:val="right"/>
              <w:rPr>
                <w:rFonts w:cs="Arial"/>
                <w:sz w:val="18"/>
                <w:szCs w:val="18"/>
              </w:rPr>
            </w:pPr>
          </w:p>
        </w:tc>
        <w:tc>
          <w:tcPr>
            <w:tcW w:w="4531" w:type="dxa"/>
          </w:tcPr>
          <w:p w:rsidR="00BA74E9" w:rsidRPr="00682A2D" w:rsidRDefault="00BA74E9" w:rsidP="00BA74E9">
            <w:pPr>
              <w:rPr>
                <w:rFonts w:ascii="Arial" w:hAnsi="Arial" w:cs="Arial"/>
                <w:sz w:val="20"/>
                <w:lang w:val="en-GB"/>
              </w:rPr>
            </w:pPr>
            <w:r w:rsidRPr="00682A2D">
              <w:rPr>
                <w:rFonts w:ascii="Arial" w:hAnsi="Arial" w:cs="Arial"/>
                <w:sz w:val="20"/>
                <w:lang w:val="en-GB"/>
              </w:rPr>
              <w:t>Specification of the Contract subject Component  3:</w:t>
            </w:r>
          </w:p>
        </w:tc>
      </w:tr>
      <w:tr w:rsidR="00682A2D" w:rsidRPr="00682A2D" w:rsidTr="00BA74E9">
        <w:tc>
          <w:tcPr>
            <w:tcW w:w="4531" w:type="dxa"/>
          </w:tcPr>
          <w:p w:rsidR="00682A2D" w:rsidRPr="00AC5C36" w:rsidRDefault="00682A2D" w:rsidP="00682A2D">
            <w:pPr>
              <w:pStyle w:val="Nadpis1"/>
              <w:spacing w:before="0" w:after="0"/>
              <w:contextualSpacing w:val="0"/>
              <w:outlineLvl w:val="0"/>
              <w:rPr>
                <w:rFonts w:cs="Arial"/>
                <w:snapToGrid w:val="0"/>
                <w:color w:val="auto"/>
                <w:u w:val="single"/>
              </w:rPr>
            </w:pPr>
            <w:r w:rsidRPr="00AC5C36">
              <w:rPr>
                <w:rFonts w:cs="Arial"/>
                <w:snapToGrid w:val="0"/>
                <w:color w:val="auto"/>
                <w:u w:val="single"/>
              </w:rPr>
              <w:t xml:space="preserve">Poradenská činnost </w:t>
            </w:r>
          </w:p>
          <w:p w:rsidR="00682A2D" w:rsidRPr="00AC5C36" w:rsidRDefault="00682A2D" w:rsidP="00BA74E9">
            <w:pPr>
              <w:rPr>
                <w:rFonts w:ascii="Arial" w:hAnsi="Arial" w:cs="Arial"/>
                <w:sz w:val="20"/>
              </w:rPr>
            </w:pPr>
          </w:p>
        </w:tc>
        <w:tc>
          <w:tcPr>
            <w:tcW w:w="4531" w:type="dxa"/>
          </w:tcPr>
          <w:p w:rsidR="00682A2D" w:rsidRPr="00AC5C36" w:rsidRDefault="00682A2D" w:rsidP="00682A2D">
            <w:pPr>
              <w:pStyle w:val="Nadpis1"/>
              <w:spacing w:before="0" w:after="0"/>
              <w:contextualSpacing w:val="0"/>
              <w:outlineLvl w:val="0"/>
              <w:rPr>
                <w:rFonts w:cs="Arial"/>
                <w:snapToGrid w:val="0"/>
                <w:color w:val="auto"/>
                <w:u w:val="single"/>
                <w:lang w:val="en-GB"/>
              </w:rPr>
            </w:pPr>
            <w:r w:rsidRPr="00AC5C36">
              <w:rPr>
                <w:rFonts w:cs="Arial"/>
                <w:snapToGrid w:val="0"/>
                <w:color w:val="auto"/>
                <w:u w:val="single"/>
                <w:lang w:val="en-GB"/>
              </w:rPr>
              <w:t>Consultancy services</w:t>
            </w:r>
          </w:p>
          <w:p w:rsidR="00682A2D" w:rsidRPr="00682A2D" w:rsidRDefault="00682A2D" w:rsidP="00BA74E9">
            <w:pPr>
              <w:rPr>
                <w:rFonts w:ascii="Arial" w:hAnsi="Arial" w:cs="Arial"/>
                <w:sz w:val="20"/>
                <w:lang w:val="en-GB"/>
              </w:rPr>
            </w:pPr>
          </w:p>
        </w:tc>
      </w:tr>
      <w:tr w:rsidR="00BA74E9" w:rsidRPr="00682A2D" w:rsidTr="00BA74E9">
        <w:tc>
          <w:tcPr>
            <w:tcW w:w="4531" w:type="dxa"/>
          </w:tcPr>
          <w:p w:rsidR="00AC5C36" w:rsidRDefault="00AC5C36" w:rsidP="00BA74E9">
            <w:pPr>
              <w:jc w:val="center"/>
              <w:rPr>
                <w:rFonts w:ascii="Arial" w:hAnsi="Arial" w:cs="Arial"/>
                <w:b/>
                <w:bCs/>
                <w:sz w:val="24"/>
                <w:u w:val="single"/>
              </w:rPr>
            </w:pPr>
          </w:p>
          <w:p w:rsidR="00AC5C36" w:rsidRDefault="00AC5C36" w:rsidP="00BA74E9">
            <w:pPr>
              <w:jc w:val="center"/>
              <w:rPr>
                <w:rFonts w:ascii="Arial" w:hAnsi="Arial" w:cs="Arial"/>
                <w:b/>
                <w:bCs/>
                <w:sz w:val="24"/>
              </w:rPr>
            </w:pPr>
            <w:r>
              <w:rPr>
                <w:rFonts w:ascii="Arial" w:hAnsi="Arial" w:cs="Arial"/>
                <w:b/>
                <w:bCs/>
                <w:sz w:val="24"/>
              </w:rPr>
              <w:t>I.</w:t>
            </w:r>
          </w:p>
          <w:p w:rsidR="00BA74E9" w:rsidRPr="00AC5C36" w:rsidRDefault="00BA74E9" w:rsidP="00BA74E9">
            <w:pPr>
              <w:jc w:val="center"/>
              <w:rPr>
                <w:rFonts w:ascii="Arial" w:hAnsi="Arial" w:cs="Arial"/>
                <w:b/>
                <w:bCs/>
                <w:sz w:val="24"/>
              </w:rPr>
            </w:pPr>
            <w:r w:rsidRPr="00AC5C36">
              <w:rPr>
                <w:rFonts w:ascii="Arial" w:hAnsi="Arial" w:cs="Arial"/>
                <w:b/>
                <w:bCs/>
                <w:sz w:val="24"/>
              </w:rPr>
              <w:t>Poradenská činnost</w:t>
            </w:r>
          </w:p>
          <w:p w:rsidR="00682A2D" w:rsidRPr="00AC5C36" w:rsidRDefault="00682A2D" w:rsidP="00BA74E9">
            <w:pPr>
              <w:jc w:val="center"/>
              <w:rPr>
                <w:rFonts w:ascii="Arial" w:hAnsi="Arial" w:cs="Arial"/>
                <w:b/>
                <w:bCs/>
                <w:sz w:val="24"/>
                <w:u w:val="single"/>
              </w:rPr>
            </w:pPr>
          </w:p>
          <w:p w:rsidR="00682A2D" w:rsidRPr="00AC5C36" w:rsidRDefault="00682A2D" w:rsidP="00682A2D">
            <w:pPr>
              <w:rPr>
                <w:rFonts w:ascii="Arial" w:hAnsi="Arial" w:cs="Arial"/>
                <w:b/>
                <w:bCs/>
                <w:sz w:val="24"/>
                <w:u w:val="single"/>
              </w:rPr>
            </w:pPr>
          </w:p>
          <w:p w:rsidR="00682A2D" w:rsidRPr="00AC5C36" w:rsidRDefault="00682A2D" w:rsidP="00682A2D">
            <w:pPr>
              <w:spacing w:line="259" w:lineRule="auto"/>
              <w:jc w:val="both"/>
              <w:rPr>
                <w:rFonts w:ascii="Arial" w:hAnsi="Arial" w:cs="Arial"/>
                <w:sz w:val="24"/>
                <w:u w:val="single"/>
              </w:rPr>
            </w:pPr>
            <w:r w:rsidRPr="00AC5C36">
              <w:rPr>
                <w:rFonts w:ascii="Arial" w:hAnsi="Arial" w:cs="Arial"/>
                <w:sz w:val="20"/>
              </w:rPr>
              <w:t xml:space="preserve">Zhotovitel na základě jednotlivých písemných objednávek Objednatele provede vyžádané poradenské činnosti, a to zejména v níže uvedených oblastech, dohodnutým způsobem, ve sjednaném čase a za jednotkovou sazbu dohodnutou ve Smlouvě. Proces objednání jednotlivých poradenských činností je popsán v příloze č. 3b. </w:t>
            </w:r>
          </w:p>
        </w:tc>
        <w:tc>
          <w:tcPr>
            <w:tcW w:w="4531" w:type="dxa"/>
          </w:tcPr>
          <w:p w:rsidR="00AC5C36" w:rsidRDefault="00AC5C36" w:rsidP="00BA74E9">
            <w:pPr>
              <w:jc w:val="center"/>
              <w:rPr>
                <w:rFonts w:ascii="Arial" w:hAnsi="Arial" w:cs="Arial"/>
                <w:b/>
                <w:sz w:val="24"/>
                <w:u w:val="single"/>
                <w:lang w:val="en-GB"/>
              </w:rPr>
            </w:pPr>
          </w:p>
          <w:p w:rsidR="00AC5C36" w:rsidRDefault="00AC5C36" w:rsidP="00BA74E9">
            <w:pPr>
              <w:jc w:val="center"/>
              <w:rPr>
                <w:rFonts w:ascii="Arial" w:hAnsi="Arial" w:cs="Arial"/>
                <w:b/>
                <w:sz w:val="24"/>
                <w:lang w:val="en-GB"/>
              </w:rPr>
            </w:pPr>
            <w:r>
              <w:rPr>
                <w:rFonts w:ascii="Arial" w:hAnsi="Arial" w:cs="Arial"/>
                <w:b/>
                <w:sz w:val="24"/>
                <w:lang w:val="en-GB"/>
              </w:rPr>
              <w:t xml:space="preserve">I. </w:t>
            </w:r>
          </w:p>
          <w:p w:rsidR="00BA74E9" w:rsidRPr="00AC5C36" w:rsidRDefault="00BA74E9" w:rsidP="00BA74E9">
            <w:pPr>
              <w:jc w:val="center"/>
              <w:rPr>
                <w:rFonts w:ascii="Arial" w:hAnsi="Arial" w:cs="Arial"/>
                <w:b/>
                <w:sz w:val="24"/>
                <w:lang w:val="en-GB"/>
              </w:rPr>
            </w:pPr>
            <w:r w:rsidRPr="00AC5C36">
              <w:rPr>
                <w:rFonts w:ascii="Arial" w:hAnsi="Arial" w:cs="Arial"/>
                <w:b/>
                <w:sz w:val="24"/>
                <w:lang w:val="en-GB"/>
              </w:rPr>
              <w:t>Consultancy services</w:t>
            </w:r>
          </w:p>
          <w:p w:rsidR="00AC5C36" w:rsidRDefault="00AC5C36" w:rsidP="00682A2D">
            <w:pPr>
              <w:spacing w:line="259" w:lineRule="auto"/>
              <w:jc w:val="both"/>
              <w:rPr>
                <w:rFonts w:ascii="Arial" w:hAnsi="Arial" w:cs="Arial"/>
                <w:sz w:val="20"/>
                <w:lang w:val="en-GB"/>
              </w:rPr>
            </w:pPr>
          </w:p>
          <w:p w:rsidR="00AC5C36" w:rsidRDefault="00AC5C36" w:rsidP="00682A2D">
            <w:pPr>
              <w:spacing w:line="259" w:lineRule="auto"/>
              <w:jc w:val="both"/>
              <w:rPr>
                <w:rFonts w:ascii="Arial" w:hAnsi="Arial" w:cs="Arial"/>
                <w:sz w:val="20"/>
                <w:lang w:val="en-GB"/>
              </w:rPr>
            </w:pPr>
          </w:p>
          <w:p w:rsidR="00682A2D" w:rsidRPr="00682A2D" w:rsidRDefault="00682A2D" w:rsidP="00682A2D">
            <w:pPr>
              <w:spacing w:line="259" w:lineRule="auto"/>
              <w:jc w:val="both"/>
              <w:rPr>
                <w:rFonts w:ascii="Arial" w:hAnsi="Arial" w:cs="Arial"/>
                <w:sz w:val="20"/>
                <w:lang w:val="en-GB"/>
              </w:rPr>
            </w:pPr>
            <w:r w:rsidRPr="00682A2D">
              <w:rPr>
                <w:rFonts w:ascii="Arial" w:hAnsi="Arial" w:cs="Arial"/>
                <w:sz w:val="20"/>
                <w:lang w:val="en-GB"/>
              </w:rPr>
              <w:t xml:space="preserve">The Contractor shall carry out </w:t>
            </w:r>
            <w:r w:rsidRPr="00682A2D">
              <w:rPr>
                <w:rFonts w:ascii="Arial" w:hAnsi="Arial" w:cs="Arial"/>
                <w:snapToGrid w:val="0"/>
                <w:sz w:val="20"/>
                <w:lang w:val="en-GB"/>
              </w:rPr>
              <w:t xml:space="preserve">the </w:t>
            </w:r>
            <w:r w:rsidRPr="00682A2D">
              <w:rPr>
                <w:rFonts w:ascii="Arial" w:hAnsi="Arial" w:cs="Arial"/>
                <w:sz w:val="20"/>
                <w:lang w:val="en-GB"/>
              </w:rPr>
              <w:t xml:space="preserve">requested consulting services following the individual written orders of the Contracting Authority, especially in the areas specified below, in the agreed manner, by </w:t>
            </w:r>
            <w:r w:rsidRPr="00682A2D">
              <w:rPr>
                <w:rFonts w:ascii="Arial" w:hAnsi="Arial" w:cs="Arial"/>
                <w:snapToGrid w:val="0"/>
                <w:sz w:val="20"/>
                <w:lang w:val="en-GB"/>
              </w:rPr>
              <w:t xml:space="preserve">the </w:t>
            </w:r>
            <w:r w:rsidRPr="00682A2D">
              <w:rPr>
                <w:rFonts w:ascii="Arial" w:hAnsi="Arial" w:cs="Arial"/>
                <w:sz w:val="20"/>
                <w:lang w:val="en-GB"/>
              </w:rPr>
              <w:t xml:space="preserve">agreed time and for the unit rate agreed in the Contract.  The process of order placement for individual consultancy services is described in Appendix 3b.  </w:t>
            </w:r>
          </w:p>
          <w:p w:rsidR="00682A2D" w:rsidRPr="00682A2D" w:rsidRDefault="00682A2D" w:rsidP="00BA74E9">
            <w:pPr>
              <w:jc w:val="center"/>
              <w:rPr>
                <w:rFonts w:ascii="Arial" w:hAnsi="Arial" w:cs="Arial"/>
                <w:sz w:val="20"/>
                <w:lang w:val="en-GB"/>
              </w:rPr>
            </w:pPr>
          </w:p>
        </w:tc>
      </w:tr>
      <w:tr w:rsidR="00AC5C36" w:rsidRPr="00AC5C36" w:rsidTr="00BA74E9">
        <w:tc>
          <w:tcPr>
            <w:tcW w:w="4531" w:type="dxa"/>
          </w:tcPr>
          <w:p w:rsidR="00AC5C36" w:rsidRDefault="00AC5C36" w:rsidP="00AC5C36">
            <w:pPr>
              <w:pStyle w:val="Nadpis1"/>
              <w:spacing w:before="0"/>
              <w:contextualSpacing w:val="0"/>
              <w:outlineLvl w:val="0"/>
              <w:rPr>
                <w:rFonts w:cs="Arial"/>
                <w:snapToGrid w:val="0"/>
              </w:rPr>
            </w:pPr>
            <w:r>
              <w:rPr>
                <w:rFonts w:cs="Arial"/>
                <w:snapToGrid w:val="0"/>
              </w:rPr>
              <w:t>II.</w:t>
            </w:r>
          </w:p>
          <w:p w:rsidR="00AC5C36" w:rsidRPr="00AC5C36" w:rsidRDefault="00AC5C36" w:rsidP="00AC5C36">
            <w:pPr>
              <w:pStyle w:val="Nadpis1"/>
              <w:spacing w:before="0"/>
              <w:contextualSpacing w:val="0"/>
              <w:outlineLvl w:val="0"/>
              <w:rPr>
                <w:rFonts w:cs="Arial"/>
                <w:snapToGrid w:val="0"/>
              </w:rPr>
            </w:pPr>
            <w:r w:rsidRPr="00AC5C36">
              <w:rPr>
                <w:rFonts w:cs="Arial"/>
                <w:snapToGrid w:val="0"/>
              </w:rPr>
              <w:t>Oblasti poradenské činnosti</w:t>
            </w:r>
          </w:p>
          <w:p w:rsidR="00AC5C36" w:rsidRPr="00AC5C36" w:rsidRDefault="00AC5C36" w:rsidP="00AC5C36">
            <w:pPr>
              <w:pStyle w:val="Nadpis2"/>
              <w:spacing w:line="259" w:lineRule="auto"/>
              <w:jc w:val="both"/>
              <w:outlineLvl w:val="1"/>
              <w:rPr>
                <w:rFonts w:ascii="Arial" w:hAnsi="Arial" w:cs="Arial"/>
                <w:b/>
                <w:bCs/>
                <w:color w:val="auto"/>
                <w:sz w:val="20"/>
                <w:szCs w:val="20"/>
              </w:rPr>
            </w:pPr>
            <w:r w:rsidRPr="00AC5C36">
              <w:rPr>
                <w:rFonts w:ascii="Arial" w:hAnsi="Arial" w:cs="Arial"/>
                <w:bCs/>
                <w:color w:val="auto"/>
                <w:sz w:val="20"/>
                <w:szCs w:val="20"/>
              </w:rPr>
              <w:t>V rámci této Části předmětu Smlouvy Objednatel předpokládá ze strany Zhotovitele poradenskou činnost zejména v těchto oblastech:</w:t>
            </w:r>
          </w:p>
          <w:p w:rsidR="00AC5C36" w:rsidRPr="00AC5C36" w:rsidRDefault="00AC5C36" w:rsidP="00AC5C36">
            <w:pPr>
              <w:spacing w:line="259" w:lineRule="auto"/>
              <w:ind w:left="720" w:hanging="360"/>
              <w:jc w:val="both"/>
              <w:rPr>
                <w:rFonts w:cs="Arial"/>
                <w:sz w:val="20"/>
              </w:rPr>
            </w:pPr>
          </w:p>
          <w:p w:rsidR="00AC5C36" w:rsidRDefault="00AC5C36" w:rsidP="00BA74E9">
            <w:pPr>
              <w:jc w:val="center"/>
              <w:rPr>
                <w:rFonts w:ascii="Arial" w:hAnsi="Arial" w:cs="Arial"/>
                <w:b/>
                <w:bCs/>
                <w:sz w:val="24"/>
                <w:u w:val="single"/>
              </w:rPr>
            </w:pPr>
          </w:p>
        </w:tc>
        <w:tc>
          <w:tcPr>
            <w:tcW w:w="4531" w:type="dxa"/>
          </w:tcPr>
          <w:p w:rsidR="00AC5C36" w:rsidRDefault="00AC5C36" w:rsidP="00AC5C36">
            <w:pPr>
              <w:pStyle w:val="Nadpis1"/>
              <w:spacing w:before="0"/>
              <w:contextualSpacing w:val="0"/>
              <w:outlineLvl w:val="0"/>
              <w:rPr>
                <w:rFonts w:cs="Arial"/>
                <w:snapToGrid w:val="0"/>
                <w:lang w:val="en-GB"/>
              </w:rPr>
            </w:pPr>
            <w:r>
              <w:rPr>
                <w:rFonts w:cs="Arial"/>
                <w:snapToGrid w:val="0"/>
                <w:lang w:val="en-GB"/>
              </w:rPr>
              <w:t xml:space="preserve">II. </w:t>
            </w:r>
          </w:p>
          <w:p w:rsidR="00AC5C36" w:rsidRPr="00682A2D" w:rsidRDefault="00AC5C36" w:rsidP="00AC5C36">
            <w:pPr>
              <w:pStyle w:val="Nadpis1"/>
              <w:spacing w:before="0"/>
              <w:contextualSpacing w:val="0"/>
              <w:outlineLvl w:val="0"/>
              <w:rPr>
                <w:rFonts w:cs="Arial"/>
                <w:snapToGrid w:val="0"/>
                <w:lang w:val="en-GB"/>
              </w:rPr>
            </w:pPr>
            <w:bookmarkStart w:id="0" w:name="_GoBack"/>
            <w:bookmarkEnd w:id="0"/>
            <w:r w:rsidRPr="00682A2D">
              <w:rPr>
                <w:rFonts w:cs="Arial"/>
                <w:snapToGrid w:val="0"/>
                <w:lang w:val="en-GB"/>
              </w:rPr>
              <w:t xml:space="preserve">Areas of consulting services </w:t>
            </w:r>
          </w:p>
          <w:p w:rsidR="00AC5C36" w:rsidRPr="00682A2D" w:rsidRDefault="00AC5C36" w:rsidP="00AC5C36">
            <w:pPr>
              <w:pStyle w:val="Nadpis2"/>
              <w:spacing w:line="259" w:lineRule="auto"/>
              <w:jc w:val="both"/>
              <w:outlineLvl w:val="1"/>
              <w:rPr>
                <w:rFonts w:ascii="Arial" w:hAnsi="Arial" w:cs="Arial"/>
                <w:b/>
                <w:bCs/>
                <w:color w:val="auto"/>
                <w:sz w:val="20"/>
                <w:szCs w:val="20"/>
                <w:lang w:val="en-GB"/>
              </w:rPr>
            </w:pPr>
            <w:r w:rsidRPr="00682A2D">
              <w:rPr>
                <w:rFonts w:ascii="Arial" w:hAnsi="Arial" w:cs="Arial"/>
                <w:color w:val="auto"/>
                <w:sz w:val="20"/>
                <w:lang w:val="en-GB"/>
              </w:rPr>
              <w:t xml:space="preserve">The Contracting Authority expects the Contractor to provide consultancy services in this component of the Contract subject particularly in the areas specified below: </w:t>
            </w:r>
          </w:p>
          <w:p w:rsidR="00AC5C36" w:rsidRPr="00AC5C36" w:rsidRDefault="00AC5C36" w:rsidP="00BA74E9">
            <w:pPr>
              <w:jc w:val="center"/>
              <w:rPr>
                <w:rFonts w:ascii="Arial" w:hAnsi="Arial" w:cs="Arial"/>
                <w:b/>
                <w:sz w:val="24"/>
                <w:u w:val="single"/>
                <w:lang w:val="en-GB"/>
              </w:rPr>
            </w:pPr>
          </w:p>
        </w:tc>
      </w:tr>
      <w:tr w:rsidR="00AC5C36" w:rsidRPr="00AC5C36" w:rsidTr="00BA74E9">
        <w:tc>
          <w:tcPr>
            <w:tcW w:w="4531" w:type="dxa"/>
          </w:tcPr>
          <w:p w:rsidR="00AC5C36" w:rsidRPr="00AC5C36" w:rsidRDefault="00AC5C36" w:rsidP="00AC5C36">
            <w:pPr>
              <w:pStyle w:val="Odstavecseseznamem"/>
              <w:numPr>
                <w:ilvl w:val="0"/>
                <w:numId w:val="3"/>
              </w:numPr>
              <w:spacing w:beforeLines="60" w:before="144" w:line="259" w:lineRule="auto"/>
              <w:ind w:left="360" w:hanging="283"/>
              <w:jc w:val="both"/>
              <w:rPr>
                <w:rFonts w:cs="Arial"/>
                <w:sz w:val="20"/>
                <w:szCs w:val="20"/>
              </w:rPr>
            </w:pPr>
            <w:r w:rsidRPr="00AC5C36">
              <w:rPr>
                <w:rFonts w:cs="Arial"/>
                <w:sz w:val="20"/>
              </w:rPr>
              <w:t>koordinace Koncepční studie s územně plánovacími podklady a dokumentacemi a územně plánovacími dokumentacemi kraje a okolních měst a obcí, zejména účast na jednáních se samosprávami, dotčenými orgány státní správy, účast na jednáních v rámci pořizování územně plánovacích podkladů a dokumentac</w:t>
            </w:r>
            <w:r w:rsidRPr="00AC5C36">
              <w:rPr>
                <w:rFonts w:cs="Arial"/>
                <w:sz w:val="20"/>
              </w:rPr>
              <w:t xml:space="preserve">í </w:t>
            </w:r>
          </w:p>
          <w:p w:rsidR="00AC5C36" w:rsidRDefault="00AC5C36" w:rsidP="00AC5C36">
            <w:pPr>
              <w:pStyle w:val="Odstavecseseznamem"/>
              <w:numPr>
                <w:ilvl w:val="0"/>
                <w:numId w:val="0"/>
              </w:numPr>
              <w:spacing w:beforeLines="60" w:before="144" w:line="259" w:lineRule="auto"/>
              <w:ind w:left="360"/>
              <w:jc w:val="both"/>
              <w:rPr>
                <w:rFonts w:cs="Arial"/>
                <w:sz w:val="20"/>
                <w:szCs w:val="20"/>
              </w:rPr>
            </w:pPr>
          </w:p>
          <w:p w:rsidR="00AC5C36" w:rsidRPr="00AC5C36" w:rsidRDefault="00AC5C36" w:rsidP="00AC5C36">
            <w:pPr>
              <w:pStyle w:val="Odstavecseseznamem"/>
              <w:numPr>
                <w:ilvl w:val="0"/>
                <w:numId w:val="3"/>
              </w:numPr>
              <w:spacing w:beforeLines="60" w:before="144" w:line="259" w:lineRule="auto"/>
              <w:ind w:left="360" w:hanging="283"/>
              <w:jc w:val="both"/>
              <w:rPr>
                <w:rFonts w:cs="Arial"/>
                <w:sz w:val="20"/>
                <w:szCs w:val="20"/>
              </w:rPr>
            </w:pPr>
            <w:r w:rsidRPr="00AC5C36">
              <w:rPr>
                <w:rFonts w:cs="Arial"/>
                <w:sz w:val="20"/>
                <w:szCs w:val="20"/>
              </w:rPr>
              <w:t>poradenská činnost v rámci koordinace dílčích projektů a opatření a jejich realizací v území, posouzení jejich souladu s Koncepční studií a Design manuálem území, doporučení pro dopracování těchto dílčích projektů,</w:t>
            </w:r>
          </w:p>
          <w:p w:rsidR="00AC5C36" w:rsidRDefault="00AC5C36" w:rsidP="00AC5C36">
            <w:pPr>
              <w:pStyle w:val="Odstavecseseznamem"/>
              <w:numPr>
                <w:ilvl w:val="0"/>
                <w:numId w:val="0"/>
              </w:numPr>
              <w:spacing w:line="259" w:lineRule="auto"/>
              <w:ind w:left="567"/>
              <w:contextualSpacing w:val="0"/>
              <w:jc w:val="both"/>
              <w:rPr>
                <w:rFonts w:cs="Arial"/>
                <w:sz w:val="20"/>
                <w:szCs w:val="20"/>
              </w:rPr>
            </w:pPr>
          </w:p>
          <w:p w:rsidR="00AC5C36" w:rsidRPr="00AC5C36" w:rsidRDefault="00AC5C36" w:rsidP="00AC5C36">
            <w:pPr>
              <w:pStyle w:val="Odstavecseseznamem"/>
              <w:numPr>
                <w:ilvl w:val="0"/>
                <w:numId w:val="0"/>
              </w:numPr>
              <w:spacing w:line="259" w:lineRule="auto"/>
              <w:ind w:left="567"/>
              <w:contextualSpacing w:val="0"/>
              <w:jc w:val="both"/>
              <w:rPr>
                <w:rFonts w:cs="Arial"/>
                <w:sz w:val="20"/>
                <w:szCs w:val="20"/>
              </w:rPr>
            </w:pPr>
          </w:p>
          <w:p w:rsidR="00AC5C36" w:rsidRPr="00AC5C36" w:rsidRDefault="00AC5C36" w:rsidP="00AC5C36">
            <w:pPr>
              <w:pStyle w:val="Odstavecseseznamem"/>
              <w:numPr>
                <w:ilvl w:val="0"/>
                <w:numId w:val="2"/>
              </w:numPr>
              <w:spacing w:line="259" w:lineRule="auto"/>
              <w:ind w:left="567" w:hanging="425"/>
              <w:contextualSpacing w:val="0"/>
              <w:jc w:val="both"/>
              <w:rPr>
                <w:rFonts w:cs="Arial"/>
                <w:sz w:val="20"/>
                <w:szCs w:val="20"/>
              </w:rPr>
            </w:pPr>
            <w:r w:rsidRPr="00AC5C36">
              <w:rPr>
                <w:rFonts w:cs="Arial"/>
                <w:sz w:val="20"/>
                <w:szCs w:val="20"/>
              </w:rPr>
              <w:t>poradenská činnost při jednání Objednatele s investory v území,</w:t>
            </w:r>
          </w:p>
          <w:p w:rsidR="00AC5C36" w:rsidRDefault="00AC5C36" w:rsidP="00AC5C36">
            <w:pPr>
              <w:pStyle w:val="Odstavecseseznamem"/>
              <w:numPr>
                <w:ilvl w:val="0"/>
                <w:numId w:val="2"/>
              </w:numPr>
              <w:spacing w:line="259" w:lineRule="auto"/>
              <w:ind w:left="567" w:hanging="425"/>
              <w:contextualSpacing w:val="0"/>
              <w:jc w:val="both"/>
              <w:rPr>
                <w:rFonts w:cs="Arial"/>
                <w:sz w:val="20"/>
                <w:szCs w:val="20"/>
              </w:rPr>
            </w:pPr>
            <w:r w:rsidRPr="00AC5C36">
              <w:rPr>
                <w:rFonts w:cs="Arial"/>
                <w:sz w:val="20"/>
                <w:szCs w:val="20"/>
              </w:rPr>
              <w:t>poradenská činnost při zajišťování finančních prostředků na realizaci dílčích projektů a Koncepční studie jako celku,</w:t>
            </w:r>
          </w:p>
          <w:p w:rsidR="00AC5C36" w:rsidRPr="00AC5C36" w:rsidRDefault="00AC5C36" w:rsidP="00AC5C36">
            <w:pPr>
              <w:pStyle w:val="Odstavecseseznamem"/>
              <w:numPr>
                <w:ilvl w:val="0"/>
                <w:numId w:val="0"/>
              </w:numPr>
              <w:spacing w:line="259" w:lineRule="auto"/>
              <w:ind w:left="567"/>
              <w:contextualSpacing w:val="0"/>
              <w:jc w:val="both"/>
              <w:rPr>
                <w:rFonts w:cs="Arial"/>
                <w:sz w:val="20"/>
                <w:szCs w:val="20"/>
              </w:rPr>
            </w:pPr>
          </w:p>
          <w:p w:rsidR="00AC5C36" w:rsidRPr="00AC5C36" w:rsidRDefault="00AC5C36" w:rsidP="00AC5C36">
            <w:pPr>
              <w:pStyle w:val="Odstavecseseznamem"/>
              <w:numPr>
                <w:ilvl w:val="0"/>
                <w:numId w:val="2"/>
              </w:numPr>
              <w:spacing w:line="259" w:lineRule="auto"/>
              <w:ind w:left="567" w:hanging="425"/>
              <w:contextualSpacing w:val="0"/>
              <w:jc w:val="both"/>
              <w:rPr>
                <w:rFonts w:cs="Arial"/>
                <w:sz w:val="20"/>
                <w:szCs w:val="20"/>
              </w:rPr>
            </w:pPr>
            <w:r w:rsidRPr="00AC5C36">
              <w:rPr>
                <w:rFonts w:cs="Arial"/>
                <w:sz w:val="20"/>
                <w:szCs w:val="20"/>
              </w:rPr>
              <w:lastRenderedPageBreak/>
              <w:t>prezentace Koncepční studie na odborných konferencích.</w:t>
            </w:r>
          </w:p>
          <w:p w:rsidR="00AC5C36" w:rsidRPr="00AC5C36" w:rsidRDefault="00AC5C36" w:rsidP="00AC5C36">
            <w:pPr>
              <w:spacing w:before="240" w:line="259" w:lineRule="auto"/>
              <w:jc w:val="both"/>
              <w:rPr>
                <w:rFonts w:ascii="Arial" w:hAnsi="Arial" w:cs="Arial"/>
                <w:sz w:val="20"/>
              </w:rPr>
            </w:pPr>
            <w:r w:rsidRPr="00AC5C36">
              <w:rPr>
                <w:rFonts w:ascii="Arial" w:hAnsi="Arial" w:cs="Arial"/>
                <w:sz w:val="20"/>
              </w:rPr>
              <w:t>Součástí této Části předmětu Smlouvy nebudou činnosti, které jsou součástí jiných Částí předmětu Smlouvy, účast na jednáních v rámci konzultace soutěžního návrhu a Koncepční studie s Pracovní skupinou, hlavními aktéry a veřejností či konzultace Design manuálu.</w:t>
            </w:r>
          </w:p>
          <w:p w:rsidR="00AC5C36" w:rsidRPr="00AC5C36" w:rsidRDefault="00AC5C36" w:rsidP="00AC5C36">
            <w:pPr>
              <w:pStyle w:val="Nadpis1"/>
              <w:spacing w:before="0"/>
              <w:contextualSpacing w:val="0"/>
              <w:outlineLvl w:val="0"/>
              <w:rPr>
                <w:rFonts w:cs="Arial"/>
                <w:snapToGrid w:val="0"/>
              </w:rPr>
            </w:pPr>
          </w:p>
        </w:tc>
        <w:tc>
          <w:tcPr>
            <w:tcW w:w="4531" w:type="dxa"/>
          </w:tcPr>
          <w:p w:rsidR="00AC5C36" w:rsidRPr="00682A2D" w:rsidRDefault="00AC5C36" w:rsidP="00AC5C36">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lastRenderedPageBreak/>
              <w:t xml:space="preserve">coordination of the Concept plan with non-statutory planning materials and documentations and planning documentation of the region and surrounding cities and municipalities, primarily by participating in meetings with self-governing authorities, competent governmental agencies, participation in meetings to obtain non-statutory planning materials and documentation, </w:t>
            </w:r>
          </w:p>
          <w:p w:rsidR="00AC5C36" w:rsidRPr="00682A2D" w:rsidRDefault="00AC5C36" w:rsidP="00AC5C36">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 xml:space="preserve">consultancy services regarding </w:t>
            </w:r>
            <w:r w:rsidRPr="00682A2D">
              <w:rPr>
                <w:rFonts w:cs="Arial"/>
                <w:snapToGrid w:val="0"/>
                <w:sz w:val="20"/>
                <w:lang w:val="en-GB"/>
              </w:rPr>
              <w:t xml:space="preserve">the </w:t>
            </w:r>
            <w:r w:rsidRPr="00682A2D">
              <w:rPr>
                <w:rFonts w:cs="Arial"/>
                <w:sz w:val="20"/>
                <w:lang w:val="en-GB"/>
              </w:rPr>
              <w:t xml:space="preserve">coordination of individual designs and measures and their implementation in the area, assessment of their compliance with the Concept plan and Design code of the area, recommendations for completion of such individual designs, </w:t>
            </w:r>
          </w:p>
          <w:p w:rsidR="00AC5C36" w:rsidRPr="00682A2D" w:rsidRDefault="00AC5C36" w:rsidP="00AC5C36">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 xml:space="preserve">consultancy services at meetings of the Contracting Authority with investors in the area, </w:t>
            </w:r>
          </w:p>
          <w:p w:rsidR="00AC5C36" w:rsidRPr="00682A2D" w:rsidRDefault="00AC5C36" w:rsidP="00AC5C36">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consultancy services in raising funds for</w:t>
            </w:r>
            <w:r w:rsidRPr="00682A2D">
              <w:rPr>
                <w:rFonts w:cs="Arial"/>
                <w:snapToGrid w:val="0"/>
                <w:sz w:val="20"/>
                <w:lang w:val="en-GB"/>
              </w:rPr>
              <w:t xml:space="preserve"> the</w:t>
            </w:r>
            <w:r w:rsidRPr="00682A2D">
              <w:rPr>
                <w:rFonts w:cs="Arial"/>
                <w:sz w:val="20"/>
                <w:lang w:val="en-GB"/>
              </w:rPr>
              <w:t xml:space="preserve"> implementation of individual designs and the Concept plan as a whole, </w:t>
            </w:r>
          </w:p>
          <w:p w:rsidR="00AC5C36" w:rsidRPr="00682A2D" w:rsidRDefault="00AC5C36" w:rsidP="00AC5C36">
            <w:pPr>
              <w:pStyle w:val="Odstavecseseznamem"/>
              <w:numPr>
                <w:ilvl w:val="0"/>
                <w:numId w:val="2"/>
              </w:numPr>
              <w:spacing w:line="259" w:lineRule="auto"/>
              <w:ind w:left="567" w:hanging="425"/>
              <w:contextualSpacing w:val="0"/>
              <w:jc w:val="both"/>
              <w:rPr>
                <w:rFonts w:cs="Arial"/>
                <w:sz w:val="20"/>
                <w:szCs w:val="20"/>
                <w:lang w:val="en-GB"/>
              </w:rPr>
            </w:pPr>
            <w:proofErr w:type="gramStart"/>
            <w:r w:rsidRPr="00682A2D">
              <w:rPr>
                <w:rFonts w:cs="Arial"/>
                <w:sz w:val="20"/>
                <w:lang w:val="en-GB"/>
              </w:rPr>
              <w:lastRenderedPageBreak/>
              <w:t>presentation</w:t>
            </w:r>
            <w:proofErr w:type="gramEnd"/>
            <w:r w:rsidRPr="00682A2D">
              <w:rPr>
                <w:rFonts w:cs="Arial"/>
                <w:sz w:val="20"/>
                <w:lang w:val="en-GB"/>
              </w:rPr>
              <w:t xml:space="preserve"> of the Concept plan at expert conferences. </w:t>
            </w:r>
          </w:p>
          <w:p w:rsidR="00AC5C36" w:rsidRDefault="00AC5C36" w:rsidP="00AC5C36">
            <w:pPr>
              <w:jc w:val="center"/>
              <w:rPr>
                <w:rFonts w:ascii="Arial" w:hAnsi="Arial" w:cs="Arial"/>
                <w:sz w:val="20"/>
                <w:lang w:val="en-GB"/>
              </w:rPr>
            </w:pPr>
          </w:p>
          <w:p w:rsidR="00AC5C36" w:rsidRDefault="00AC5C36" w:rsidP="00AC5C36">
            <w:pPr>
              <w:jc w:val="both"/>
              <w:rPr>
                <w:rFonts w:ascii="Arial" w:hAnsi="Arial" w:cs="Arial"/>
                <w:sz w:val="20"/>
                <w:lang w:val="en-GB"/>
              </w:rPr>
            </w:pPr>
          </w:p>
          <w:p w:rsidR="00AC5C36" w:rsidRDefault="00AC5C36" w:rsidP="00AC5C36">
            <w:pPr>
              <w:jc w:val="both"/>
              <w:rPr>
                <w:rFonts w:ascii="Arial" w:hAnsi="Arial" w:cs="Arial"/>
                <w:sz w:val="20"/>
                <w:lang w:val="en-GB"/>
              </w:rPr>
            </w:pPr>
          </w:p>
          <w:p w:rsidR="00AC5C36" w:rsidRPr="00AC5C36" w:rsidRDefault="00AC5C36" w:rsidP="00AC5C36">
            <w:pPr>
              <w:jc w:val="both"/>
              <w:rPr>
                <w:rFonts w:ascii="Arial" w:hAnsi="Arial" w:cs="Arial"/>
                <w:b/>
                <w:sz w:val="24"/>
                <w:u w:val="single"/>
              </w:rPr>
            </w:pPr>
            <w:r w:rsidRPr="00682A2D">
              <w:rPr>
                <w:rFonts w:ascii="Arial" w:hAnsi="Arial" w:cs="Arial"/>
                <w:sz w:val="20"/>
                <w:lang w:val="en-GB"/>
              </w:rPr>
              <w:t xml:space="preserve">This Component of the Contract subject will not include activities which form an integral part of other Components of the Contract subject, participation in meetings regarding consultations of the competition proposal and Concept plan  with the Work group, key stakeholders and </w:t>
            </w:r>
            <w:r w:rsidRPr="00682A2D">
              <w:rPr>
                <w:rFonts w:ascii="Arial" w:hAnsi="Arial" w:cs="Arial"/>
                <w:snapToGrid w:val="0"/>
                <w:sz w:val="20"/>
                <w:lang w:val="en-GB"/>
              </w:rPr>
              <w:t xml:space="preserve">the </w:t>
            </w:r>
            <w:r w:rsidRPr="00682A2D">
              <w:rPr>
                <w:rFonts w:ascii="Arial" w:hAnsi="Arial" w:cs="Arial"/>
                <w:sz w:val="20"/>
                <w:lang w:val="en-GB"/>
              </w:rPr>
              <w:t>public, or consultations on the Design cod</w:t>
            </w:r>
          </w:p>
        </w:tc>
      </w:tr>
    </w:tbl>
    <w:p w:rsidR="00AC5C36" w:rsidRDefault="00AC5C36"/>
    <w:tbl>
      <w:tblPr>
        <w:tblStyle w:val="Mkatabulky"/>
        <w:tblW w:w="0" w:type="auto"/>
        <w:tblLook w:val="04A0" w:firstRow="1" w:lastRow="0" w:firstColumn="1" w:lastColumn="0" w:noHBand="0" w:noVBand="1"/>
      </w:tblPr>
      <w:tblGrid>
        <w:gridCol w:w="4531"/>
        <w:gridCol w:w="4531"/>
      </w:tblGrid>
      <w:tr w:rsidR="00682A2D" w:rsidRPr="00682A2D" w:rsidTr="00682A2D">
        <w:trPr>
          <w:trHeight w:val="11340"/>
        </w:trPr>
        <w:tc>
          <w:tcPr>
            <w:tcW w:w="4531" w:type="dxa"/>
          </w:tcPr>
          <w:p w:rsidR="00682A2D" w:rsidRPr="00AC5C36" w:rsidRDefault="00682A2D" w:rsidP="00682A2D">
            <w:pPr>
              <w:pStyle w:val="Odstavecseseznamem"/>
              <w:numPr>
                <w:ilvl w:val="0"/>
                <w:numId w:val="0"/>
              </w:numPr>
              <w:spacing w:line="259" w:lineRule="auto"/>
              <w:ind w:left="567"/>
              <w:contextualSpacing w:val="0"/>
              <w:jc w:val="both"/>
              <w:rPr>
                <w:rFonts w:cs="Arial"/>
                <w:sz w:val="20"/>
                <w:szCs w:val="20"/>
              </w:rPr>
            </w:pPr>
          </w:p>
          <w:p w:rsidR="00682A2D" w:rsidRPr="00AC5C36" w:rsidRDefault="00682A2D" w:rsidP="00682A2D">
            <w:pPr>
              <w:pStyle w:val="Odstavecseseznamem"/>
              <w:numPr>
                <w:ilvl w:val="0"/>
                <w:numId w:val="0"/>
              </w:numPr>
              <w:spacing w:line="259" w:lineRule="auto"/>
              <w:ind w:left="567"/>
              <w:contextualSpacing w:val="0"/>
              <w:jc w:val="both"/>
              <w:rPr>
                <w:rFonts w:cs="Arial"/>
                <w:sz w:val="20"/>
                <w:szCs w:val="20"/>
              </w:rPr>
            </w:pPr>
          </w:p>
          <w:p w:rsidR="00682A2D" w:rsidRPr="00AC5C36" w:rsidRDefault="00682A2D" w:rsidP="00AC5C36">
            <w:pPr>
              <w:spacing w:before="240"/>
              <w:jc w:val="both"/>
              <w:rPr>
                <w:rFonts w:ascii="Arial" w:hAnsi="Arial" w:cs="Arial"/>
                <w:b/>
                <w:bCs/>
                <w:sz w:val="24"/>
                <w:u w:val="single"/>
              </w:rPr>
            </w:pPr>
          </w:p>
        </w:tc>
        <w:tc>
          <w:tcPr>
            <w:tcW w:w="4531" w:type="dxa"/>
          </w:tcPr>
          <w:p w:rsidR="00682A2D" w:rsidRPr="00AC5C36" w:rsidRDefault="00682A2D" w:rsidP="00682A2D">
            <w:pPr>
              <w:pStyle w:val="Nadpis1"/>
              <w:spacing w:before="0"/>
              <w:contextualSpacing w:val="0"/>
              <w:outlineLvl w:val="0"/>
              <w:rPr>
                <w:rFonts w:cs="Arial"/>
                <w:snapToGrid w:val="0"/>
              </w:rPr>
            </w:pPr>
          </w:p>
          <w:p w:rsidR="00682A2D" w:rsidRPr="00682A2D" w:rsidRDefault="00682A2D" w:rsidP="00682A2D">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 xml:space="preserve">coordination of the Concept plan with non-statutory planning materials and documentations and planning documentation of the region and surrounding cities and municipalities, primarily by participating in meetings with self-governing authorities, competent governmental agencies, participation in meetings to obtain non-statutory planning materials and documentation, </w:t>
            </w:r>
          </w:p>
          <w:p w:rsidR="00682A2D" w:rsidRPr="00682A2D" w:rsidRDefault="00682A2D" w:rsidP="00682A2D">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 xml:space="preserve">consultancy services regarding </w:t>
            </w:r>
            <w:r w:rsidRPr="00682A2D">
              <w:rPr>
                <w:rFonts w:cs="Arial"/>
                <w:snapToGrid w:val="0"/>
                <w:sz w:val="20"/>
                <w:lang w:val="en-GB"/>
              </w:rPr>
              <w:t xml:space="preserve">the </w:t>
            </w:r>
            <w:r w:rsidRPr="00682A2D">
              <w:rPr>
                <w:rFonts w:cs="Arial"/>
                <w:sz w:val="20"/>
                <w:lang w:val="en-GB"/>
              </w:rPr>
              <w:t xml:space="preserve">coordination of individual designs and measures and their implementation in the area, assessment of their compliance with the Concept plan and Design code of the area, recommendations for completion of such individual designs, </w:t>
            </w:r>
          </w:p>
          <w:p w:rsidR="00682A2D" w:rsidRPr="00682A2D" w:rsidRDefault="00682A2D" w:rsidP="00682A2D">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 xml:space="preserve">consultancy services at meetings of the Contracting Authority with investors in the area, </w:t>
            </w:r>
          </w:p>
          <w:p w:rsidR="00682A2D" w:rsidRPr="00682A2D" w:rsidRDefault="00682A2D" w:rsidP="00682A2D">
            <w:pPr>
              <w:pStyle w:val="Odstavecseseznamem"/>
              <w:numPr>
                <w:ilvl w:val="0"/>
                <w:numId w:val="2"/>
              </w:numPr>
              <w:spacing w:line="259" w:lineRule="auto"/>
              <w:ind w:left="567" w:hanging="425"/>
              <w:contextualSpacing w:val="0"/>
              <w:jc w:val="both"/>
              <w:rPr>
                <w:rFonts w:cs="Arial"/>
                <w:sz w:val="20"/>
                <w:szCs w:val="20"/>
                <w:lang w:val="en-GB"/>
              </w:rPr>
            </w:pPr>
            <w:r w:rsidRPr="00682A2D">
              <w:rPr>
                <w:rFonts w:cs="Arial"/>
                <w:sz w:val="20"/>
                <w:lang w:val="en-GB"/>
              </w:rPr>
              <w:t>consultancy services in raising funds for</w:t>
            </w:r>
            <w:r w:rsidRPr="00682A2D">
              <w:rPr>
                <w:rFonts w:cs="Arial"/>
                <w:snapToGrid w:val="0"/>
                <w:sz w:val="20"/>
                <w:lang w:val="en-GB"/>
              </w:rPr>
              <w:t xml:space="preserve"> the</w:t>
            </w:r>
            <w:r w:rsidRPr="00682A2D">
              <w:rPr>
                <w:rFonts w:cs="Arial"/>
                <w:sz w:val="20"/>
                <w:lang w:val="en-GB"/>
              </w:rPr>
              <w:t xml:space="preserve"> implementation of individual designs and the Concept plan as a whole, </w:t>
            </w:r>
          </w:p>
          <w:p w:rsidR="00682A2D" w:rsidRPr="00682A2D" w:rsidRDefault="00682A2D" w:rsidP="00682A2D">
            <w:pPr>
              <w:pStyle w:val="Odstavecseseznamem"/>
              <w:numPr>
                <w:ilvl w:val="0"/>
                <w:numId w:val="2"/>
              </w:numPr>
              <w:spacing w:line="259" w:lineRule="auto"/>
              <w:ind w:left="567" w:hanging="425"/>
              <w:contextualSpacing w:val="0"/>
              <w:jc w:val="both"/>
              <w:rPr>
                <w:rFonts w:cs="Arial"/>
                <w:sz w:val="20"/>
                <w:szCs w:val="20"/>
                <w:lang w:val="en-GB"/>
              </w:rPr>
            </w:pPr>
            <w:proofErr w:type="gramStart"/>
            <w:r w:rsidRPr="00682A2D">
              <w:rPr>
                <w:rFonts w:cs="Arial"/>
                <w:sz w:val="20"/>
                <w:lang w:val="en-GB"/>
              </w:rPr>
              <w:t>presentation</w:t>
            </w:r>
            <w:proofErr w:type="gramEnd"/>
            <w:r w:rsidRPr="00682A2D">
              <w:rPr>
                <w:rFonts w:cs="Arial"/>
                <w:sz w:val="20"/>
                <w:lang w:val="en-GB"/>
              </w:rPr>
              <w:t xml:space="preserve"> of the Concept plan at expert conferences. </w:t>
            </w:r>
          </w:p>
          <w:p w:rsidR="00682A2D" w:rsidRPr="00682A2D" w:rsidRDefault="00682A2D" w:rsidP="00682A2D">
            <w:pPr>
              <w:spacing w:before="240" w:line="259" w:lineRule="auto"/>
              <w:jc w:val="both"/>
              <w:rPr>
                <w:rFonts w:ascii="Arial" w:hAnsi="Arial" w:cs="Arial"/>
                <w:sz w:val="20"/>
                <w:lang w:val="en-GB"/>
              </w:rPr>
            </w:pPr>
            <w:r w:rsidRPr="00682A2D">
              <w:rPr>
                <w:rFonts w:ascii="Arial" w:hAnsi="Arial" w:cs="Arial"/>
                <w:sz w:val="20"/>
                <w:lang w:val="en-GB"/>
              </w:rPr>
              <w:t xml:space="preserve">This Component of the Contract subject will not include activities which form an integral part of other Components of the Contract subject, participation in meetings regarding consultations of the competition proposal and Concept </w:t>
            </w:r>
            <w:proofErr w:type="gramStart"/>
            <w:r w:rsidRPr="00682A2D">
              <w:rPr>
                <w:rFonts w:ascii="Arial" w:hAnsi="Arial" w:cs="Arial"/>
                <w:sz w:val="20"/>
                <w:lang w:val="en-GB"/>
              </w:rPr>
              <w:t>plan  with</w:t>
            </w:r>
            <w:proofErr w:type="gramEnd"/>
            <w:r w:rsidRPr="00682A2D">
              <w:rPr>
                <w:rFonts w:ascii="Arial" w:hAnsi="Arial" w:cs="Arial"/>
                <w:sz w:val="20"/>
                <w:lang w:val="en-GB"/>
              </w:rPr>
              <w:t xml:space="preserve"> the Work group, key stakeholders and </w:t>
            </w:r>
            <w:r w:rsidRPr="00682A2D">
              <w:rPr>
                <w:rFonts w:ascii="Arial" w:hAnsi="Arial" w:cs="Arial"/>
                <w:snapToGrid w:val="0"/>
                <w:sz w:val="20"/>
                <w:lang w:val="en-GB"/>
              </w:rPr>
              <w:t xml:space="preserve">the </w:t>
            </w:r>
            <w:r w:rsidRPr="00682A2D">
              <w:rPr>
                <w:rFonts w:ascii="Arial" w:hAnsi="Arial" w:cs="Arial"/>
                <w:sz w:val="20"/>
                <w:lang w:val="en-GB"/>
              </w:rPr>
              <w:t xml:space="preserve">public, or consultations on the Design code. </w:t>
            </w:r>
          </w:p>
        </w:tc>
      </w:tr>
    </w:tbl>
    <w:p w:rsidR="004C1B72" w:rsidRPr="00682A2D" w:rsidRDefault="004C1B72" w:rsidP="00BA74E9">
      <w:pPr>
        <w:spacing w:after="0" w:line="240" w:lineRule="auto"/>
        <w:rPr>
          <w:rFonts w:ascii="Arial" w:hAnsi="Arial" w:cs="Arial"/>
          <w:sz w:val="20"/>
          <w:lang w:val="en-GB"/>
        </w:rPr>
      </w:pPr>
    </w:p>
    <w:sectPr w:rsidR="004C1B72" w:rsidRPr="00682A2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뮀節翑"/>
    <w:panose1 w:val="02020603050405020304"/>
    <w:charset w:val="00"/>
    <w:family w:val="auto"/>
    <w:pitch w:val="variable"/>
    <w:sig w:usb0="E00002FF" w:usb1="5000205A"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266F0"/>
    <w:multiLevelType w:val="hybridMultilevel"/>
    <w:tmpl w:val="A0440032"/>
    <w:lvl w:ilvl="0" w:tplc="5698A1E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5E757478"/>
    <w:multiLevelType w:val="hybridMultilevel"/>
    <w:tmpl w:val="C34CF300"/>
    <w:lvl w:ilvl="0" w:tplc="BA480102">
      <w:numFmt w:val="bullet"/>
      <w:lvlText w:val="-"/>
      <w:lvlJc w:val="left"/>
      <w:pPr>
        <w:ind w:left="720" w:hanging="360"/>
      </w:pPr>
      <w:rPr>
        <w:rFonts w:ascii="Times New Roman" w:eastAsia="Time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D5F1DB8"/>
    <w:multiLevelType w:val="hybridMultilevel"/>
    <w:tmpl w:val="A33E1038"/>
    <w:lvl w:ilvl="0" w:tplc="BCC0921C">
      <w:start w:val="220"/>
      <w:numFmt w:val="bullet"/>
      <w:pStyle w:val="Odstavecseseznamem"/>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74E9"/>
    <w:rsid w:val="0021525E"/>
    <w:rsid w:val="004C1B72"/>
    <w:rsid w:val="00682A2D"/>
    <w:rsid w:val="00737051"/>
    <w:rsid w:val="009004A9"/>
    <w:rsid w:val="00A4482C"/>
    <w:rsid w:val="00AC5C36"/>
    <w:rsid w:val="00BA37F8"/>
    <w:rsid w:val="00BA74E9"/>
    <w:rsid w:val="00CD7070"/>
    <w:rsid w:val="00D91C12"/>
    <w:rsid w:val="00DC4B8D"/>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F5E758-7C55-4DCC-B328-A3426784C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cs="Mangal"/>
    </w:rPr>
  </w:style>
  <w:style w:type="paragraph" w:styleId="Nadpis1">
    <w:name w:val="heading 1"/>
    <w:basedOn w:val="Normln"/>
    <w:next w:val="Normln"/>
    <w:link w:val="Nadpis1Char"/>
    <w:uiPriority w:val="9"/>
    <w:qFormat/>
    <w:rsid w:val="00BA74E9"/>
    <w:pPr>
      <w:keepNext/>
      <w:keepLines/>
      <w:spacing w:before="240" w:after="240" w:line="240" w:lineRule="auto"/>
      <w:contextualSpacing/>
      <w:jc w:val="center"/>
      <w:outlineLvl w:val="0"/>
    </w:pPr>
    <w:rPr>
      <w:rFonts w:ascii="Arial" w:eastAsiaTheme="majorEastAsia" w:hAnsi="Arial" w:cstheme="majorBidi"/>
      <w:b/>
      <w:color w:val="000000" w:themeColor="text1"/>
      <w:sz w:val="24"/>
      <w:szCs w:val="32"/>
      <w:lang w:eastAsia="cs-CZ" w:bidi="ar-SA"/>
    </w:rPr>
  </w:style>
  <w:style w:type="paragraph" w:styleId="Nadpis2">
    <w:name w:val="heading 2"/>
    <w:basedOn w:val="Normln"/>
    <w:next w:val="Normln"/>
    <w:link w:val="Nadpis2Char"/>
    <w:uiPriority w:val="9"/>
    <w:semiHidden/>
    <w:unhideWhenUsed/>
    <w:qFormat/>
    <w:rsid w:val="00BA74E9"/>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BA7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BA74E9"/>
    <w:pPr>
      <w:tabs>
        <w:tab w:val="center" w:pos="4536"/>
        <w:tab w:val="right" w:pos="9072"/>
      </w:tabs>
      <w:spacing w:after="0" w:line="240" w:lineRule="auto"/>
    </w:pPr>
    <w:rPr>
      <w:rFonts w:ascii="Arial" w:eastAsia="Times New Roman" w:hAnsi="Arial" w:cs="Times New Roman"/>
      <w:szCs w:val="24"/>
      <w:lang w:eastAsia="cs-CZ" w:bidi="ar-SA"/>
    </w:rPr>
  </w:style>
  <w:style w:type="character" w:customStyle="1" w:styleId="ZhlavChar">
    <w:name w:val="Záhlaví Char"/>
    <w:basedOn w:val="Standardnpsmoodstavce"/>
    <w:link w:val="Zhlav"/>
    <w:uiPriority w:val="99"/>
    <w:rsid w:val="00BA74E9"/>
    <w:rPr>
      <w:rFonts w:ascii="Arial" w:eastAsia="Times New Roman" w:hAnsi="Arial" w:cs="Times New Roman"/>
      <w:szCs w:val="24"/>
      <w:lang w:eastAsia="cs-CZ" w:bidi="ar-SA"/>
    </w:rPr>
  </w:style>
  <w:style w:type="character" w:customStyle="1" w:styleId="Nadpis1Char">
    <w:name w:val="Nadpis 1 Char"/>
    <w:basedOn w:val="Standardnpsmoodstavce"/>
    <w:link w:val="Nadpis1"/>
    <w:uiPriority w:val="9"/>
    <w:rsid w:val="00BA74E9"/>
    <w:rPr>
      <w:rFonts w:ascii="Arial" w:eastAsiaTheme="majorEastAsia" w:hAnsi="Arial" w:cstheme="majorBidi"/>
      <w:b/>
      <w:color w:val="000000" w:themeColor="text1"/>
      <w:sz w:val="24"/>
      <w:szCs w:val="32"/>
      <w:lang w:eastAsia="cs-CZ" w:bidi="ar-SA"/>
    </w:rPr>
  </w:style>
  <w:style w:type="character" w:customStyle="1" w:styleId="Nadpis2Char">
    <w:name w:val="Nadpis 2 Char"/>
    <w:basedOn w:val="Standardnpsmoodstavce"/>
    <w:link w:val="Nadpis2"/>
    <w:uiPriority w:val="9"/>
    <w:semiHidden/>
    <w:rsid w:val="00BA74E9"/>
    <w:rPr>
      <w:rFonts w:asciiTheme="majorHAnsi" w:eastAsiaTheme="majorEastAsia" w:hAnsiTheme="majorHAnsi" w:cstheme="majorBidi"/>
      <w:color w:val="2E74B5" w:themeColor="accent1" w:themeShade="BF"/>
      <w:sz w:val="26"/>
      <w:szCs w:val="23"/>
    </w:rPr>
  </w:style>
  <w:style w:type="paragraph" w:styleId="Odstavecseseznamem">
    <w:name w:val="List Paragraph"/>
    <w:aliases w:val="seznam"/>
    <w:basedOn w:val="Normln"/>
    <w:uiPriority w:val="34"/>
    <w:qFormat/>
    <w:rsid w:val="00BA74E9"/>
    <w:pPr>
      <w:numPr>
        <w:numId w:val="1"/>
      </w:numPr>
      <w:spacing w:before="60" w:after="60" w:line="240" w:lineRule="auto"/>
      <w:contextualSpacing/>
    </w:pPr>
    <w:rPr>
      <w:rFonts w:ascii="Arial" w:eastAsia="Times New Roman" w:hAnsi="Arial" w:cs="Times New Roman"/>
      <w:szCs w:val="24"/>
      <w:lang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695</Words>
  <Characters>4107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
  <dc:description/>
  <cp:lastModifiedBy>Jana Nová</cp:lastModifiedBy>
  <cp:revision>2</cp:revision>
  <dcterms:created xsi:type="dcterms:W3CDTF">2021-08-31T05:38:00Z</dcterms:created>
  <dcterms:modified xsi:type="dcterms:W3CDTF">2021-08-31T06:42:00Z</dcterms:modified>
</cp:coreProperties>
</file>